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504"/>
        <w:tblW w:w="0" w:type="auto"/>
        <w:tblLook w:val="04A0" w:firstRow="1" w:lastRow="0" w:firstColumn="1" w:lastColumn="0" w:noHBand="0" w:noVBand="1"/>
      </w:tblPr>
      <w:tblGrid>
        <w:gridCol w:w="3117"/>
        <w:gridCol w:w="3124"/>
        <w:gridCol w:w="3119"/>
      </w:tblGrid>
      <w:tr w:rsidR="008D6C67" w:rsidRPr="00CC469E" w:rsidTr="008D6C67">
        <w:trPr>
          <w:trHeight w:val="540"/>
        </w:trPr>
        <w:tc>
          <w:tcPr>
            <w:tcW w:w="3192" w:type="dxa"/>
          </w:tcPr>
          <w:p w:rsidR="008D6C67" w:rsidRPr="005D09CE" w:rsidRDefault="002A6BD8" w:rsidP="008D6C67">
            <w:pPr>
              <w:jc w:val="center"/>
              <w:rPr>
                <w:b/>
                <w:sz w:val="16"/>
                <w:szCs w:val="16"/>
              </w:rPr>
            </w:pPr>
            <w:r>
              <w:rPr>
                <w:b/>
                <w:sz w:val="16"/>
                <w:szCs w:val="16"/>
              </w:rPr>
              <w:t xml:space="preserve"> TERRY MAYFIELD</w:t>
            </w:r>
          </w:p>
          <w:p w:rsidR="008D6C67" w:rsidRPr="00CC469E" w:rsidRDefault="008D6C67" w:rsidP="008D6C67">
            <w:pPr>
              <w:jc w:val="center"/>
              <w:rPr>
                <w:sz w:val="14"/>
                <w:szCs w:val="14"/>
              </w:rPr>
            </w:pPr>
            <w:r w:rsidRPr="00CC469E">
              <w:rPr>
                <w:sz w:val="14"/>
                <w:szCs w:val="14"/>
              </w:rPr>
              <w:t>Superintendent</w:t>
            </w:r>
          </w:p>
          <w:p w:rsidR="008D6C67" w:rsidRPr="00CC469E" w:rsidRDefault="008D6C67" w:rsidP="008D6C67">
            <w:pPr>
              <w:jc w:val="center"/>
              <w:rPr>
                <w:sz w:val="14"/>
                <w:szCs w:val="14"/>
              </w:rPr>
            </w:pPr>
            <w:r w:rsidRPr="00CC469E">
              <w:rPr>
                <w:sz w:val="14"/>
                <w:szCs w:val="14"/>
              </w:rPr>
              <w:t>(816) 657-4715</w:t>
            </w:r>
          </w:p>
          <w:p w:rsidR="008D6C67" w:rsidRPr="00CC469E" w:rsidRDefault="008D6C67" w:rsidP="008D6C67">
            <w:pPr>
              <w:pStyle w:val="unknownstyle"/>
              <w:rPr>
                <w:rFonts w:ascii="Times New Roman" w:hAnsi="Times New Roman" w:cs="Times New Roman"/>
                <w:sz w:val="28"/>
                <w:szCs w:val="28"/>
              </w:rPr>
            </w:pPr>
          </w:p>
        </w:tc>
        <w:tc>
          <w:tcPr>
            <w:tcW w:w="3192" w:type="dxa"/>
            <w:vMerge w:val="restart"/>
          </w:tcPr>
          <w:p w:rsidR="008D6C67" w:rsidRPr="00CC469E" w:rsidRDefault="008D6C67" w:rsidP="008D6C67">
            <w:pPr>
              <w:pStyle w:val="unknownstyle"/>
              <w:rPr>
                <w:rFonts w:ascii="Times New Roman" w:hAnsi="Times New Roman" w:cs="Times New Roman"/>
                <w:sz w:val="28"/>
                <w:szCs w:val="28"/>
              </w:rPr>
            </w:pPr>
          </w:p>
        </w:tc>
        <w:tc>
          <w:tcPr>
            <w:tcW w:w="3192" w:type="dxa"/>
            <w:vMerge w:val="restart"/>
          </w:tcPr>
          <w:p w:rsidR="008D6C67" w:rsidRPr="00CC469E" w:rsidRDefault="00CB59B2" w:rsidP="008D6C67">
            <w:pPr>
              <w:jc w:val="center"/>
              <w:rPr>
                <w:b/>
                <w:bCs/>
                <w:sz w:val="14"/>
                <w:szCs w:val="14"/>
              </w:rPr>
            </w:pPr>
            <w:r>
              <w:rPr>
                <w:b/>
                <w:bCs/>
                <w:sz w:val="14"/>
                <w:szCs w:val="14"/>
              </w:rPr>
              <w:t>SAM ORAM</w:t>
            </w:r>
          </w:p>
          <w:p w:rsidR="008D6C67" w:rsidRDefault="00CB59B2" w:rsidP="008D6C67">
            <w:pPr>
              <w:jc w:val="center"/>
              <w:rPr>
                <w:sz w:val="14"/>
                <w:szCs w:val="14"/>
              </w:rPr>
            </w:pPr>
            <w:r>
              <w:rPr>
                <w:sz w:val="14"/>
                <w:szCs w:val="14"/>
              </w:rPr>
              <w:t xml:space="preserve">Technology Director/ </w:t>
            </w:r>
            <w:r w:rsidR="008D6C67" w:rsidRPr="00CC469E">
              <w:rPr>
                <w:sz w:val="14"/>
                <w:szCs w:val="14"/>
              </w:rPr>
              <w:t>Athletic Director</w:t>
            </w:r>
          </w:p>
          <w:p w:rsidR="008D6C67" w:rsidRDefault="008D6C67" w:rsidP="008D6C67">
            <w:pPr>
              <w:jc w:val="center"/>
              <w:rPr>
                <w:sz w:val="14"/>
                <w:szCs w:val="14"/>
              </w:rPr>
            </w:pPr>
          </w:p>
          <w:p w:rsidR="008D6C67" w:rsidRDefault="008D6C67" w:rsidP="008D6C67">
            <w:pPr>
              <w:jc w:val="center"/>
              <w:rPr>
                <w:sz w:val="14"/>
                <w:szCs w:val="14"/>
              </w:rPr>
            </w:pPr>
          </w:p>
          <w:p w:rsidR="008D6C67" w:rsidRPr="00CC469E" w:rsidRDefault="00CB59B2" w:rsidP="008D6C67">
            <w:pPr>
              <w:jc w:val="center"/>
              <w:rPr>
                <w:b/>
                <w:bCs/>
                <w:sz w:val="14"/>
                <w:szCs w:val="14"/>
              </w:rPr>
            </w:pPr>
            <w:r>
              <w:rPr>
                <w:b/>
                <w:bCs/>
                <w:sz w:val="14"/>
                <w:szCs w:val="14"/>
              </w:rPr>
              <w:t>JON STACKHOUSE</w:t>
            </w:r>
          </w:p>
          <w:p w:rsidR="008D6C67" w:rsidRDefault="008D6C67" w:rsidP="008D6C67">
            <w:pPr>
              <w:jc w:val="center"/>
              <w:rPr>
                <w:sz w:val="14"/>
                <w:szCs w:val="14"/>
              </w:rPr>
            </w:pPr>
            <w:r w:rsidRPr="00CC469E">
              <w:rPr>
                <w:sz w:val="14"/>
                <w:szCs w:val="14"/>
              </w:rPr>
              <w:t>Counselor</w:t>
            </w:r>
          </w:p>
          <w:p w:rsidR="008D6C67" w:rsidRDefault="008D6C67" w:rsidP="008D6C67">
            <w:pPr>
              <w:jc w:val="center"/>
              <w:rPr>
                <w:sz w:val="14"/>
                <w:szCs w:val="14"/>
              </w:rPr>
            </w:pPr>
          </w:p>
          <w:p w:rsidR="008D6C67" w:rsidRPr="00CC469E" w:rsidRDefault="008D6C67" w:rsidP="008D6C67">
            <w:pPr>
              <w:jc w:val="center"/>
              <w:rPr>
                <w:sz w:val="14"/>
                <w:szCs w:val="14"/>
              </w:rPr>
            </w:pPr>
          </w:p>
          <w:p w:rsidR="008D6C67" w:rsidRPr="00CC469E" w:rsidRDefault="00CB59B2" w:rsidP="008D6C67">
            <w:pPr>
              <w:jc w:val="center"/>
              <w:rPr>
                <w:b/>
                <w:bCs/>
                <w:sz w:val="14"/>
                <w:szCs w:val="14"/>
              </w:rPr>
            </w:pPr>
            <w:r>
              <w:rPr>
                <w:b/>
                <w:bCs/>
                <w:sz w:val="14"/>
                <w:szCs w:val="14"/>
              </w:rPr>
              <w:t>CHEYENNE PECKMAN</w:t>
            </w:r>
          </w:p>
          <w:p w:rsidR="008D6C67" w:rsidRPr="00CC469E" w:rsidRDefault="008D6C67" w:rsidP="008D6C67">
            <w:pPr>
              <w:jc w:val="center"/>
              <w:rPr>
                <w:sz w:val="14"/>
                <w:szCs w:val="14"/>
              </w:rPr>
            </w:pPr>
            <w:r w:rsidRPr="00CC469E">
              <w:rPr>
                <w:sz w:val="14"/>
                <w:szCs w:val="14"/>
              </w:rPr>
              <w:t>Special Ed Director</w:t>
            </w:r>
          </w:p>
          <w:p w:rsidR="008D6C67" w:rsidRDefault="008D6C67" w:rsidP="008D6C67">
            <w:pPr>
              <w:jc w:val="center"/>
              <w:rPr>
                <w:sz w:val="14"/>
                <w:szCs w:val="14"/>
              </w:rPr>
            </w:pPr>
            <w:r w:rsidRPr="00CC469E">
              <w:rPr>
                <w:sz w:val="14"/>
                <w:szCs w:val="14"/>
              </w:rPr>
              <w:t>Programs Director</w:t>
            </w:r>
          </w:p>
          <w:p w:rsidR="008D6C67" w:rsidRPr="00CC469E" w:rsidRDefault="008D6C67" w:rsidP="008D6C67">
            <w:pPr>
              <w:jc w:val="center"/>
              <w:rPr>
                <w:sz w:val="14"/>
                <w:szCs w:val="14"/>
              </w:rPr>
            </w:pPr>
          </w:p>
          <w:p w:rsidR="008D6C67" w:rsidRPr="00CC469E" w:rsidRDefault="008D6C67" w:rsidP="008D6C67">
            <w:pPr>
              <w:jc w:val="center"/>
              <w:rPr>
                <w:sz w:val="14"/>
                <w:szCs w:val="14"/>
              </w:rPr>
            </w:pPr>
          </w:p>
          <w:p w:rsidR="008D6C67" w:rsidRPr="00CC469E" w:rsidRDefault="00DE7BD7" w:rsidP="008D6C67">
            <w:pPr>
              <w:jc w:val="center"/>
              <w:rPr>
                <w:b/>
                <w:bCs/>
                <w:sz w:val="14"/>
                <w:szCs w:val="14"/>
              </w:rPr>
            </w:pPr>
            <w:r>
              <w:rPr>
                <w:b/>
                <w:bCs/>
                <w:sz w:val="14"/>
                <w:szCs w:val="14"/>
              </w:rPr>
              <w:t>KARA SMITH</w:t>
            </w:r>
          </w:p>
          <w:p w:rsidR="008D6C67" w:rsidRPr="00CC469E" w:rsidRDefault="008D6C67" w:rsidP="008D6C67">
            <w:pPr>
              <w:jc w:val="center"/>
              <w:rPr>
                <w:sz w:val="14"/>
                <w:szCs w:val="14"/>
              </w:rPr>
            </w:pPr>
            <w:r w:rsidRPr="00CC469E">
              <w:rPr>
                <w:sz w:val="14"/>
                <w:szCs w:val="14"/>
              </w:rPr>
              <w:t>Secretary, Board of Education</w:t>
            </w:r>
          </w:p>
          <w:p w:rsidR="008D6C67" w:rsidRPr="00CC469E" w:rsidRDefault="008D6C67" w:rsidP="008D6C67">
            <w:pPr>
              <w:jc w:val="center"/>
              <w:rPr>
                <w:sz w:val="14"/>
                <w:szCs w:val="14"/>
              </w:rPr>
            </w:pPr>
          </w:p>
          <w:p w:rsidR="008D6C67" w:rsidRPr="00CC469E" w:rsidRDefault="008D6C67" w:rsidP="008D6C67">
            <w:pPr>
              <w:jc w:val="center"/>
              <w:rPr>
                <w:sz w:val="28"/>
                <w:szCs w:val="28"/>
              </w:rPr>
            </w:pPr>
          </w:p>
        </w:tc>
      </w:tr>
      <w:tr w:rsidR="008D6C67" w:rsidRPr="00CC469E" w:rsidTr="008D6C67">
        <w:tc>
          <w:tcPr>
            <w:tcW w:w="3192" w:type="dxa"/>
          </w:tcPr>
          <w:p w:rsidR="008D6C67" w:rsidRPr="00CC469E" w:rsidRDefault="002A6BD8" w:rsidP="008D6C67">
            <w:pPr>
              <w:jc w:val="center"/>
              <w:rPr>
                <w:b/>
                <w:bCs/>
                <w:sz w:val="14"/>
                <w:szCs w:val="14"/>
              </w:rPr>
            </w:pPr>
            <w:r>
              <w:rPr>
                <w:b/>
                <w:bCs/>
                <w:sz w:val="14"/>
                <w:szCs w:val="14"/>
              </w:rPr>
              <w:t xml:space="preserve"> </w:t>
            </w:r>
            <w:r w:rsidR="00B03C96">
              <w:rPr>
                <w:b/>
                <w:bCs/>
                <w:sz w:val="14"/>
                <w:szCs w:val="14"/>
              </w:rPr>
              <w:t>DENNIS BOLTON</w:t>
            </w:r>
          </w:p>
          <w:p w:rsidR="008D6C67" w:rsidRPr="00CC469E" w:rsidRDefault="008D6C67" w:rsidP="008D6C67">
            <w:pPr>
              <w:jc w:val="center"/>
              <w:rPr>
                <w:sz w:val="14"/>
                <w:szCs w:val="14"/>
              </w:rPr>
            </w:pPr>
            <w:r w:rsidRPr="00CC469E">
              <w:rPr>
                <w:sz w:val="14"/>
                <w:szCs w:val="14"/>
              </w:rPr>
              <w:t>Junior High/High School Principal</w:t>
            </w:r>
          </w:p>
          <w:p w:rsidR="008D6C67" w:rsidRPr="00CC469E" w:rsidRDefault="008D6C67" w:rsidP="008D6C67">
            <w:pPr>
              <w:jc w:val="center"/>
              <w:rPr>
                <w:sz w:val="14"/>
                <w:szCs w:val="14"/>
              </w:rPr>
            </w:pPr>
            <w:r w:rsidRPr="00CC469E">
              <w:rPr>
                <w:sz w:val="14"/>
                <w:szCs w:val="14"/>
              </w:rPr>
              <w:t>(816) 619-2287</w:t>
            </w:r>
          </w:p>
          <w:p w:rsidR="008D6C67" w:rsidRPr="00CC469E" w:rsidRDefault="008D6C67" w:rsidP="008D6C67">
            <w:pPr>
              <w:jc w:val="center"/>
              <w:rPr>
                <w:sz w:val="28"/>
                <w:szCs w:val="28"/>
              </w:rPr>
            </w:pPr>
          </w:p>
        </w:tc>
        <w:tc>
          <w:tcPr>
            <w:tcW w:w="3192" w:type="dxa"/>
            <w:vMerge/>
          </w:tcPr>
          <w:p w:rsidR="008D6C67" w:rsidRPr="00CC469E" w:rsidRDefault="008D6C67" w:rsidP="008D6C67">
            <w:pPr>
              <w:pStyle w:val="unknownstyle"/>
              <w:rPr>
                <w:rFonts w:ascii="Times New Roman" w:hAnsi="Times New Roman" w:cs="Times New Roman"/>
                <w:sz w:val="28"/>
                <w:szCs w:val="28"/>
              </w:rPr>
            </w:pPr>
          </w:p>
        </w:tc>
        <w:tc>
          <w:tcPr>
            <w:tcW w:w="3192" w:type="dxa"/>
            <w:vMerge/>
          </w:tcPr>
          <w:p w:rsidR="008D6C67" w:rsidRPr="00CC469E" w:rsidRDefault="008D6C67" w:rsidP="008D6C67">
            <w:pPr>
              <w:jc w:val="center"/>
              <w:rPr>
                <w:sz w:val="28"/>
                <w:szCs w:val="28"/>
              </w:rPr>
            </w:pPr>
          </w:p>
        </w:tc>
      </w:tr>
      <w:tr w:rsidR="008D6C67" w:rsidRPr="00CC469E" w:rsidTr="008D6C67">
        <w:tc>
          <w:tcPr>
            <w:tcW w:w="3192" w:type="dxa"/>
          </w:tcPr>
          <w:p w:rsidR="008D6C67" w:rsidRPr="008D6C67" w:rsidRDefault="002A6BD8" w:rsidP="008D6C67">
            <w:pPr>
              <w:jc w:val="center"/>
              <w:rPr>
                <w:b/>
                <w:bCs/>
                <w:sz w:val="14"/>
                <w:szCs w:val="14"/>
              </w:rPr>
            </w:pPr>
            <w:r>
              <w:rPr>
                <w:b/>
                <w:sz w:val="14"/>
                <w:szCs w:val="14"/>
              </w:rPr>
              <w:t xml:space="preserve"> </w:t>
            </w:r>
            <w:r w:rsidR="008D6C67" w:rsidRPr="008D6C67">
              <w:rPr>
                <w:b/>
                <w:sz w:val="14"/>
                <w:szCs w:val="14"/>
              </w:rPr>
              <w:t>LAURIE JACKLOVICH</w:t>
            </w:r>
          </w:p>
          <w:p w:rsidR="008D6C67" w:rsidRPr="00CC469E" w:rsidRDefault="008D6C67" w:rsidP="008D6C67">
            <w:pPr>
              <w:jc w:val="center"/>
              <w:rPr>
                <w:sz w:val="14"/>
                <w:szCs w:val="14"/>
              </w:rPr>
            </w:pPr>
            <w:r w:rsidRPr="00CC469E">
              <w:rPr>
                <w:sz w:val="14"/>
                <w:szCs w:val="14"/>
              </w:rPr>
              <w:t>Elementary Principal</w:t>
            </w:r>
          </w:p>
          <w:p w:rsidR="008D6C67" w:rsidRPr="00CC469E" w:rsidRDefault="008D6C67" w:rsidP="008D6C67">
            <w:pPr>
              <w:jc w:val="center"/>
              <w:rPr>
                <w:color w:val="auto"/>
                <w:kern w:val="0"/>
                <w:sz w:val="24"/>
                <w:szCs w:val="24"/>
              </w:rPr>
            </w:pPr>
            <w:r w:rsidRPr="00CC469E">
              <w:rPr>
                <w:sz w:val="14"/>
                <w:szCs w:val="14"/>
              </w:rPr>
              <w:t>(816) 619-2468</w:t>
            </w:r>
          </w:p>
          <w:p w:rsidR="008D6C67" w:rsidRPr="00CC469E" w:rsidRDefault="008D6C67" w:rsidP="008D6C67">
            <w:pPr>
              <w:pStyle w:val="unknownstyle"/>
              <w:rPr>
                <w:rFonts w:ascii="Times New Roman" w:hAnsi="Times New Roman" w:cs="Times New Roman"/>
                <w:sz w:val="28"/>
                <w:szCs w:val="28"/>
              </w:rPr>
            </w:pPr>
          </w:p>
        </w:tc>
        <w:tc>
          <w:tcPr>
            <w:tcW w:w="3192" w:type="dxa"/>
          </w:tcPr>
          <w:p w:rsidR="008D6C67" w:rsidRPr="00CC469E" w:rsidRDefault="008D6C67" w:rsidP="008D6C67">
            <w:pPr>
              <w:pStyle w:val="unknownstyle"/>
              <w:rPr>
                <w:rFonts w:ascii="Times New Roman" w:hAnsi="Times New Roman" w:cs="Times New Roman"/>
                <w:sz w:val="28"/>
                <w:szCs w:val="28"/>
              </w:rPr>
            </w:pPr>
          </w:p>
          <w:p w:rsidR="008D6C67" w:rsidRPr="00D634E0" w:rsidRDefault="008D6C67" w:rsidP="008D6C67">
            <w:pPr>
              <w:pStyle w:val="unknownstyle"/>
              <w:rPr>
                <w:rFonts w:ascii="Times New Roman" w:hAnsi="Times New Roman" w:cs="Times New Roman"/>
                <w:sz w:val="28"/>
                <w:szCs w:val="28"/>
              </w:rPr>
            </w:pPr>
            <w:r w:rsidRPr="00D634E0">
              <w:rPr>
                <w:rFonts w:ascii="Times New Roman" w:hAnsi="Times New Roman" w:cs="Times New Roman"/>
                <w:sz w:val="28"/>
                <w:szCs w:val="28"/>
              </w:rPr>
              <w:t xml:space="preserve">DREXEL R-IV SCHOOL </w:t>
            </w:r>
          </w:p>
          <w:p w:rsidR="008D6C67" w:rsidRPr="00D634E0" w:rsidRDefault="008D6C67" w:rsidP="008D6C67">
            <w:pPr>
              <w:pStyle w:val="unknownstyle"/>
              <w:rPr>
                <w:rFonts w:ascii="Times New Roman" w:hAnsi="Times New Roman" w:cs="Times New Roman"/>
                <w:color w:val="auto"/>
                <w:kern w:val="0"/>
                <w:sz w:val="18"/>
                <w:szCs w:val="18"/>
              </w:rPr>
            </w:pPr>
            <w:r w:rsidRPr="00D634E0">
              <w:rPr>
                <w:rFonts w:ascii="Lucida Calligraphy" w:hAnsi="Lucida Calligraphy" w:cs="Lucida Calligraphy"/>
                <w:b/>
                <w:bCs/>
                <w:sz w:val="18"/>
                <w:szCs w:val="18"/>
              </w:rPr>
              <w:t>Home of the Bobcats</w:t>
            </w:r>
          </w:p>
          <w:p w:rsidR="008D6C67" w:rsidRPr="00CC469E" w:rsidRDefault="008D6C67" w:rsidP="008D6C67">
            <w:pPr>
              <w:pStyle w:val="unknownstyle"/>
              <w:rPr>
                <w:rFonts w:ascii="Times New Roman" w:hAnsi="Times New Roman" w:cs="Times New Roman"/>
                <w:sz w:val="28"/>
                <w:szCs w:val="28"/>
              </w:rPr>
            </w:pPr>
          </w:p>
        </w:tc>
        <w:tc>
          <w:tcPr>
            <w:tcW w:w="3192" w:type="dxa"/>
            <w:vMerge/>
          </w:tcPr>
          <w:p w:rsidR="008D6C67" w:rsidRPr="00CC469E" w:rsidRDefault="008D6C67" w:rsidP="008D6C67">
            <w:pPr>
              <w:jc w:val="center"/>
              <w:rPr>
                <w:sz w:val="28"/>
                <w:szCs w:val="28"/>
              </w:rPr>
            </w:pPr>
          </w:p>
        </w:tc>
      </w:tr>
    </w:tbl>
    <w:p w:rsidR="00302C51" w:rsidRPr="00C04477" w:rsidRDefault="00CF7F2E" w:rsidP="00D93828">
      <w:pPr>
        <w:rPr>
          <w:sz w:val="24"/>
          <w:szCs w:val="24"/>
        </w:rPr>
      </w:pPr>
      <w:r w:rsidRPr="00CF7F2E">
        <w:rPr>
          <w:noProof/>
          <w:sz w:val="24"/>
          <w:szCs w:val="24"/>
        </w:rPr>
        <w:drawing>
          <wp:anchor distT="36576" distB="36576" distL="36576" distR="36576" simplePos="0" relativeHeight="251659776" behindDoc="0" locked="0" layoutInCell="1" allowOverlap="1">
            <wp:simplePos x="0" y="0"/>
            <wp:positionH relativeFrom="column">
              <wp:posOffset>2312670</wp:posOffset>
            </wp:positionH>
            <wp:positionV relativeFrom="paragraph">
              <wp:posOffset>-891540</wp:posOffset>
            </wp:positionV>
            <wp:extent cx="1184910" cy="1668780"/>
            <wp:effectExtent l="1905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1184910" cy="1668780"/>
                    </a:xfrm>
                    <a:prstGeom prst="rect">
                      <a:avLst/>
                    </a:prstGeom>
                    <a:noFill/>
                    <a:ln w="9525" algn="in">
                      <a:noFill/>
                      <a:miter lim="800000"/>
                      <a:headEnd/>
                      <a:tailEnd/>
                    </a:ln>
                  </pic:spPr>
                </pic:pic>
              </a:graphicData>
            </a:graphic>
          </wp:anchor>
        </w:drawing>
      </w:r>
    </w:p>
    <w:p w:rsidR="002F4865" w:rsidRPr="002F4865" w:rsidRDefault="002F4865" w:rsidP="002F4865">
      <w:pPr>
        <w:widowControl/>
        <w:shd w:val="clear" w:color="auto" w:fill="FFFFFF"/>
        <w:overflowPunct/>
        <w:autoSpaceDE/>
        <w:autoSpaceDN/>
        <w:adjustRightInd/>
        <w:rPr>
          <w:b/>
          <w:kern w:val="0"/>
          <w:sz w:val="22"/>
        </w:rPr>
      </w:pPr>
      <w:r w:rsidRPr="002F4865">
        <w:rPr>
          <w:b/>
          <w:kern w:val="0"/>
          <w:sz w:val="28"/>
          <w:szCs w:val="24"/>
        </w:rPr>
        <w:t>Dear Parents and Students,</w:t>
      </w:r>
    </w:p>
    <w:p w:rsidR="002F4865" w:rsidRPr="002F4865" w:rsidRDefault="002F4865" w:rsidP="002F4865">
      <w:pPr>
        <w:widowControl/>
        <w:shd w:val="clear" w:color="auto" w:fill="FFFFFF"/>
        <w:overflowPunct/>
        <w:autoSpaceDE/>
        <w:autoSpaceDN/>
        <w:adjustRightInd/>
        <w:rPr>
          <w:kern w:val="0"/>
        </w:rPr>
      </w:pPr>
      <w:r w:rsidRPr="002F4865">
        <w:rPr>
          <w:kern w:val="0"/>
          <w:sz w:val="24"/>
          <w:szCs w:val="24"/>
        </w:rPr>
        <w:t> </w:t>
      </w:r>
    </w:p>
    <w:p w:rsidR="002F4865" w:rsidRPr="002F4865" w:rsidRDefault="002F4865" w:rsidP="002F4865">
      <w:pPr>
        <w:widowControl/>
        <w:shd w:val="clear" w:color="auto" w:fill="FFFFFF"/>
        <w:overflowPunct/>
        <w:autoSpaceDE/>
        <w:autoSpaceDN/>
        <w:adjustRightInd/>
        <w:rPr>
          <w:kern w:val="0"/>
          <w:sz w:val="26"/>
          <w:szCs w:val="26"/>
        </w:rPr>
      </w:pPr>
      <w:r w:rsidRPr="002F4865">
        <w:rPr>
          <w:kern w:val="0"/>
          <w:sz w:val="26"/>
          <w:szCs w:val="26"/>
        </w:rPr>
        <w:t>There will be an informational meeting on August 2</w:t>
      </w:r>
      <w:r w:rsidRPr="002F4865">
        <w:rPr>
          <w:kern w:val="0"/>
          <w:sz w:val="26"/>
          <w:szCs w:val="26"/>
          <w:vertAlign w:val="superscript"/>
        </w:rPr>
        <w:t>nd</w:t>
      </w:r>
      <w:r w:rsidRPr="002F4865">
        <w:rPr>
          <w:kern w:val="0"/>
          <w:sz w:val="26"/>
          <w:szCs w:val="26"/>
        </w:rPr>
        <w:t>, 2018 starting at 7:30 pm to discuss and answer questions about the Random Drug Testing Policy being implemented at Drexel High School.  Beginning in the fall of 2018, all students participating in covered activities and students who drive / park on school property will be part of a pool for random drug testing.</w:t>
      </w:r>
    </w:p>
    <w:p w:rsidR="002F4865" w:rsidRPr="002F4865" w:rsidRDefault="002F4865" w:rsidP="002F4865">
      <w:pPr>
        <w:widowControl/>
        <w:shd w:val="clear" w:color="auto" w:fill="FFFFFF"/>
        <w:overflowPunct/>
        <w:autoSpaceDE/>
        <w:autoSpaceDN/>
        <w:adjustRightInd/>
        <w:rPr>
          <w:kern w:val="0"/>
          <w:sz w:val="26"/>
          <w:szCs w:val="26"/>
        </w:rPr>
      </w:pPr>
      <w:r w:rsidRPr="002F4865">
        <w:rPr>
          <w:kern w:val="0"/>
          <w:sz w:val="26"/>
          <w:szCs w:val="26"/>
        </w:rPr>
        <w:t> </w:t>
      </w:r>
    </w:p>
    <w:p w:rsidR="002F4865" w:rsidRPr="002F4865" w:rsidRDefault="002F4865" w:rsidP="002F4865">
      <w:pPr>
        <w:widowControl/>
        <w:shd w:val="clear" w:color="auto" w:fill="FFFFFF"/>
        <w:overflowPunct/>
        <w:autoSpaceDE/>
        <w:autoSpaceDN/>
        <w:adjustRightInd/>
        <w:rPr>
          <w:kern w:val="0"/>
          <w:sz w:val="26"/>
          <w:szCs w:val="26"/>
        </w:rPr>
      </w:pPr>
      <w:r w:rsidRPr="002F4865">
        <w:rPr>
          <w:kern w:val="0"/>
          <w:sz w:val="26"/>
          <w:szCs w:val="26"/>
        </w:rPr>
        <w:t>The Board of Education recognizes the importance of protecting the health and safety of students from the use of illegal drugs, performance-enhancing drugs and alcohol.  The purpose of this policy is to help prevent substance abuse among students, to encourage treatment for students with substance abuse problems and to ensure that students have the opportunity to attend school and participate in activities in a fair, safe and healthy environment.</w:t>
      </w:r>
    </w:p>
    <w:p w:rsidR="002F4865" w:rsidRPr="002F4865" w:rsidRDefault="002F4865" w:rsidP="002F4865">
      <w:pPr>
        <w:widowControl/>
        <w:shd w:val="clear" w:color="auto" w:fill="FFFFFF"/>
        <w:overflowPunct/>
        <w:autoSpaceDE/>
        <w:autoSpaceDN/>
        <w:adjustRightInd/>
        <w:rPr>
          <w:kern w:val="0"/>
          <w:sz w:val="26"/>
          <w:szCs w:val="26"/>
        </w:rPr>
      </w:pPr>
      <w:r w:rsidRPr="002F4865">
        <w:rPr>
          <w:kern w:val="0"/>
          <w:sz w:val="26"/>
          <w:szCs w:val="26"/>
        </w:rPr>
        <w:t> </w:t>
      </w:r>
    </w:p>
    <w:p w:rsidR="002F4865" w:rsidRPr="002F4865" w:rsidRDefault="002F4865" w:rsidP="002F4865">
      <w:pPr>
        <w:widowControl/>
        <w:shd w:val="clear" w:color="auto" w:fill="FFFFFF"/>
        <w:overflowPunct/>
        <w:autoSpaceDE/>
        <w:autoSpaceDN/>
        <w:adjustRightInd/>
        <w:rPr>
          <w:kern w:val="0"/>
          <w:sz w:val="26"/>
          <w:szCs w:val="26"/>
        </w:rPr>
      </w:pPr>
      <w:r w:rsidRPr="002F4865">
        <w:rPr>
          <w:kern w:val="0"/>
          <w:sz w:val="26"/>
          <w:szCs w:val="26"/>
        </w:rPr>
        <w:t>As a condition of participating in covered activities and parking privileges, students in grades 7-12 and their parents must consent to random drug testing of the students as defined in the policy.  Students and parents must have a signed consent form on file with the high school office within ten (10) days of the start of school.</w:t>
      </w:r>
    </w:p>
    <w:p w:rsidR="002F4865" w:rsidRPr="002F4865" w:rsidRDefault="002F4865" w:rsidP="002F4865">
      <w:pPr>
        <w:widowControl/>
        <w:shd w:val="clear" w:color="auto" w:fill="FFFFFF"/>
        <w:overflowPunct/>
        <w:autoSpaceDE/>
        <w:autoSpaceDN/>
        <w:adjustRightInd/>
        <w:rPr>
          <w:kern w:val="0"/>
          <w:sz w:val="26"/>
          <w:szCs w:val="26"/>
        </w:rPr>
      </w:pPr>
      <w:r w:rsidRPr="002F4865">
        <w:rPr>
          <w:kern w:val="0"/>
          <w:sz w:val="26"/>
          <w:szCs w:val="26"/>
        </w:rPr>
        <w:t> </w:t>
      </w:r>
    </w:p>
    <w:p w:rsidR="002F4865" w:rsidRPr="002F4865" w:rsidRDefault="002F4865" w:rsidP="002F4865">
      <w:pPr>
        <w:widowControl/>
        <w:shd w:val="clear" w:color="auto" w:fill="FFFFFF"/>
        <w:overflowPunct/>
        <w:autoSpaceDE/>
        <w:autoSpaceDN/>
        <w:adjustRightInd/>
        <w:rPr>
          <w:kern w:val="0"/>
          <w:sz w:val="26"/>
          <w:szCs w:val="26"/>
        </w:rPr>
      </w:pPr>
      <w:r w:rsidRPr="002F4865">
        <w:rPr>
          <w:kern w:val="0"/>
          <w:sz w:val="26"/>
          <w:szCs w:val="26"/>
        </w:rPr>
        <w:t>Also during this time, the Drexel Athletic Handbook will be reviewed and questions answered.  All parents and students 7-12 are encouraged to attend. </w:t>
      </w:r>
    </w:p>
    <w:p w:rsidR="00302C51" w:rsidRDefault="00302C51" w:rsidP="00D93828">
      <w:bookmarkStart w:id="0" w:name="_GoBack"/>
      <w:bookmarkEnd w:id="0"/>
    </w:p>
    <w:sectPr w:rsidR="00302C51" w:rsidSect="008D6C67">
      <w:footerReference w:type="default" r:id="rId7"/>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00E" w:rsidRDefault="0067400E">
      <w:r>
        <w:separator/>
      </w:r>
    </w:p>
  </w:endnote>
  <w:endnote w:type="continuationSeparator" w:id="0">
    <w:p w:rsidR="0067400E" w:rsidRDefault="00674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C67" w:rsidRDefault="008D6C67" w:rsidP="008D6C67">
    <w:pPr>
      <w:pStyle w:val="Footer"/>
      <w:jc w:val="center"/>
    </w:pPr>
    <w:r>
      <w:t>207 S Fourth St    PO Box 860    Drexel MO  64742</w:t>
    </w:r>
  </w:p>
  <w:p w:rsidR="008D6C67" w:rsidRDefault="008D6C67" w:rsidP="008D6C67">
    <w:pPr>
      <w:pStyle w:val="Footer"/>
      <w:jc w:val="center"/>
    </w:pPr>
  </w:p>
  <w:p w:rsidR="008D6C67" w:rsidRDefault="008D6C67" w:rsidP="008D6C67">
    <w:pPr>
      <w:pStyle w:val="Footer"/>
      <w:jc w:val="center"/>
    </w:pPr>
    <w:r>
      <w:t>Phone: 816-657-4715    FAX: 816-657-4798    www.drexel.k12.mo.us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00E" w:rsidRDefault="0067400E">
      <w:r>
        <w:separator/>
      </w:r>
    </w:p>
  </w:footnote>
  <w:footnote w:type="continuationSeparator" w:id="0">
    <w:p w:rsidR="0067400E" w:rsidRDefault="006740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C8D"/>
    <w:rsid w:val="000558B2"/>
    <w:rsid w:val="00092B12"/>
    <w:rsid w:val="000A6BD3"/>
    <w:rsid w:val="001B1392"/>
    <w:rsid w:val="001C356E"/>
    <w:rsid w:val="00233C96"/>
    <w:rsid w:val="002833DB"/>
    <w:rsid w:val="002A6BD8"/>
    <w:rsid w:val="002B416C"/>
    <w:rsid w:val="002F4865"/>
    <w:rsid w:val="00302C51"/>
    <w:rsid w:val="00302C77"/>
    <w:rsid w:val="003044B0"/>
    <w:rsid w:val="003047C2"/>
    <w:rsid w:val="00327810"/>
    <w:rsid w:val="00390D52"/>
    <w:rsid w:val="00446ABA"/>
    <w:rsid w:val="004818B9"/>
    <w:rsid w:val="00490E64"/>
    <w:rsid w:val="00580542"/>
    <w:rsid w:val="005B7E4C"/>
    <w:rsid w:val="005D09CE"/>
    <w:rsid w:val="00624D37"/>
    <w:rsid w:val="00664A21"/>
    <w:rsid w:val="0067400E"/>
    <w:rsid w:val="0068552D"/>
    <w:rsid w:val="006B1EFF"/>
    <w:rsid w:val="006F595B"/>
    <w:rsid w:val="007D66F6"/>
    <w:rsid w:val="00805835"/>
    <w:rsid w:val="00805C8D"/>
    <w:rsid w:val="00857766"/>
    <w:rsid w:val="008D6C67"/>
    <w:rsid w:val="00906799"/>
    <w:rsid w:val="009672F8"/>
    <w:rsid w:val="009E3F06"/>
    <w:rsid w:val="009F2CFB"/>
    <w:rsid w:val="00A04887"/>
    <w:rsid w:val="00A575E5"/>
    <w:rsid w:val="00A647D4"/>
    <w:rsid w:val="00B03C96"/>
    <w:rsid w:val="00B52960"/>
    <w:rsid w:val="00B77CAE"/>
    <w:rsid w:val="00BD0116"/>
    <w:rsid w:val="00BF6A31"/>
    <w:rsid w:val="00C04477"/>
    <w:rsid w:val="00C21CC6"/>
    <w:rsid w:val="00C77499"/>
    <w:rsid w:val="00CB59B2"/>
    <w:rsid w:val="00CD0E9D"/>
    <w:rsid w:val="00CE0E4A"/>
    <w:rsid w:val="00CF28AF"/>
    <w:rsid w:val="00CF6C3E"/>
    <w:rsid w:val="00CF7F2E"/>
    <w:rsid w:val="00D03C19"/>
    <w:rsid w:val="00D93828"/>
    <w:rsid w:val="00DE7BD7"/>
    <w:rsid w:val="00E50D58"/>
    <w:rsid w:val="00E50D82"/>
    <w:rsid w:val="00E77457"/>
    <w:rsid w:val="00E807C7"/>
    <w:rsid w:val="00E84F7F"/>
    <w:rsid w:val="00F502C5"/>
    <w:rsid w:val="00F85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27340"/>
  <w15:docId w15:val="{99B3DBC8-7257-407D-8538-A04AB7E6F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6C67"/>
    <w:pPr>
      <w:widowControl w:val="0"/>
      <w:overflowPunct w:val="0"/>
      <w:autoSpaceDE w:val="0"/>
      <w:autoSpaceDN w:val="0"/>
      <w:adjustRightInd w:val="0"/>
    </w:pPr>
    <w:rPr>
      <w:rFonts w:ascii="Times New Roman" w:eastAsia="Times New Roman" w:hAnsi="Times New Roman"/>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nknownstyle">
    <w:name w:val="unknown style"/>
    <w:uiPriority w:val="99"/>
    <w:rsid w:val="008D6C67"/>
    <w:pPr>
      <w:widowControl w:val="0"/>
      <w:overflowPunct w:val="0"/>
      <w:autoSpaceDE w:val="0"/>
      <w:autoSpaceDN w:val="0"/>
      <w:adjustRightInd w:val="0"/>
      <w:spacing w:line="264" w:lineRule="auto"/>
      <w:jc w:val="center"/>
    </w:pPr>
    <w:rPr>
      <w:rFonts w:ascii="Goudy Old Style" w:eastAsia="Times New Roman" w:hAnsi="Goudy Old Style" w:cs="Goudy Old Style"/>
      <w:color w:val="000000"/>
      <w:kern w:val="28"/>
      <w:sz w:val="14"/>
      <w:szCs w:val="14"/>
    </w:rPr>
  </w:style>
  <w:style w:type="paragraph" w:styleId="Footer">
    <w:name w:val="footer"/>
    <w:basedOn w:val="Normal"/>
    <w:link w:val="FooterChar"/>
    <w:uiPriority w:val="99"/>
    <w:unhideWhenUsed/>
    <w:rsid w:val="008D6C67"/>
    <w:pPr>
      <w:tabs>
        <w:tab w:val="center" w:pos="4680"/>
        <w:tab w:val="right" w:pos="9360"/>
      </w:tabs>
    </w:pPr>
  </w:style>
  <w:style w:type="character" w:customStyle="1" w:styleId="FooterChar">
    <w:name w:val="Footer Char"/>
    <w:basedOn w:val="DefaultParagraphFont"/>
    <w:link w:val="Footer"/>
    <w:uiPriority w:val="99"/>
    <w:rsid w:val="008D6C67"/>
    <w:rPr>
      <w:rFonts w:ascii="Times New Roman" w:eastAsia="Times New Roman" w:hAnsi="Times New Roman" w:cs="Times New Roman"/>
      <w:color w:val="000000"/>
      <w:kern w:val="28"/>
      <w:sz w:val="20"/>
      <w:szCs w:val="20"/>
    </w:rPr>
  </w:style>
  <w:style w:type="paragraph" w:styleId="NormalWeb">
    <w:name w:val="Normal (Web)"/>
    <w:basedOn w:val="Normal"/>
    <w:uiPriority w:val="99"/>
    <w:unhideWhenUsed/>
    <w:rsid w:val="00490E64"/>
    <w:pPr>
      <w:widowControl/>
      <w:overflowPunct/>
      <w:autoSpaceDE/>
      <w:autoSpaceDN/>
      <w:adjustRightInd/>
      <w:spacing w:before="100" w:beforeAutospacing="1" w:after="100" w:afterAutospacing="1"/>
    </w:pPr>
    <w:rPr>
      <w:rFonts w:asciiTheme="minorHAnsi" w:eastAsiaTheme="minorEastAsia" w:hAnsiTheme="minorHAnsi"/>
      <w:color w:val="auto"/>
      <w:kern w:val="0"/>
      <w:sz w:val="24"/>
      <w:szCs w:val="24"/>
      <w:lang w:bidi="en-US"/>
    </w:rPr>
  </w:style>
  <w:style w:type="paragraph" w:styleId="NoSpacing">
    <w:name w:val="No Spacing"/>
    <w:uiPriority w:val="1"/>
    <w:qFormat/>
    <w:rsid w:val="00490E64"/>
    <w:pPr>
      <w:widowControl w:val="0"/>
      <w:overflowPunct w:val="0"/>
      <w:autoSpaceDE w:val="0"/>
      <w:autoSpaceDN w:val="0"/>
      <w:adjustRightInd w:val="0"/>
    </w:pPr>
    <w:rPr>
      <w:rFonts w:ascii="Times New Roman" w:eastAsia="Times New Roman" w:hAnsi="Times New Roman"/>
      <w:color w:val="000000"/>
      <w:kern w:val="28"/>
    </w:rPr>
  </w:style>
  <w:style w:type="character" w:styleId="Hyperlink">
    <w:name w:val="Hyperlink"/>
    <w:basedOn w:val="DefaultParagraphFont"/>
    <w:uiPriority w:val="99"/>
    <w:unhideWhenUsed/>
    <w:rsid w:val="00C044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39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braschler\Desktop\forms\Letterhead%202011-12%20school%20ye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 2011-12 school year</Template>
  <TotalTime>1</TotalTime>
  <Pages>1</Pages>
  <Words>258</Words>
  <Characters>1476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Drexel R-IV School</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 Braschler</dc:creator>
  <cp:lastModifiedBy>Admin</cp:lastModifiedBy>
  <cp:revision>2</cp:revision>
  <cp:lastPrinted>2016-03-11T19:40:00Z</cp:lastPrinted>
  <dcterms:created xsi:type="dcterms:W3CDTF">2018-07-19T20:42:00Z</dcterms:created>
  <dcterms:modified xsi:type="dcterms:W3CDTF">2018-07-19T20:42:00Z</dcterms:modified>
</cp:coreProperties>
</file>